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44" w:rsidRPr="00024227" w:rsidRDefault="00C737E3" w:rsidP="00FA5202">
      <w:pPr>
        <w:rPr>
          <w:b/>
          <w:sz w:val="24"/>
        </w:rPr>
      </w:pPr>
      <w:r w:rsidRPr="00024227">
        <w:rPr>
          <w:b/>
          <w:sz w:val="24"/>
        </w:rPr>
        <w:t>What do the monuments stand for</w:t>
      </w:r>
      <w:r w:rsidR="00024227">
        <w:rPr>
          <w:b/>
          <w:sz w:val="24"/>
        </w:rPr>
        <w:t xml:space="preserve">? Materiality </w:t>
      </w:r>
      <w:r w:rsidRPr="00024227">
        <w:rPr>
          <w:b/>
          <w:sz w:val="24"/>
        </w:rPr>
        <w:t>of Roman architecture</w:t>
      </w:r>
    </w:p>
    <w:p w:rsidR="00024227" w:rsidRPr="00024227" w:rsidRDefault="00024227" w:rsidP="00FA5202">
      <w:pPr>
        <w:rPr>
          <w:sz w:val="24"/>
        </w:rPr>
      </w:pPr>
    </w:p>
    <w:p w:rsidR="00024227" w:rsidRPr="00024227" w:rsidRDefault="00024227" w:rsidP="00FA5202">
      <w:pPr>
        <w:rPr>
          <w:sz w:val="24"/>
        </w:rPr>
      </w:pPr>
      <w:r w:rsidRPr="00B26581">
        <w:rPr>
          <w:i/>
          <w:sz w:val="24"/>
        </w:rPr>
        <w:t>Organiser</w:t>
      </w:r>
      <w:r w:rsidR="000C52C2">
        <w:rPr>
          <w:i/>
          <w:sz w:val="24"/>
        </w:rPr>
        <w:t>s</w:t>
      </w:r>
      <w:r w:rsidRPr="00024227">
        <w:rPr>
          <w:sz w:val="24"/>
        </w:rPr>
        <w:t>:</w:t>
      </w:r>
    </w:p>
    <w:p w:rsidR="00C737E3" w:rsidRDefault="00C737E3" w:rsidP="00FA5202">
      <w:pPr>
        <w:rPr>
          <w:sz w:val="24"/>
        </w:rPr>
      </w:pPr>
      <w:r w:rsidRPr="00024227">
        <w:rPr>
          <w:sz w:val="24"/>
        </w:rPr>
        <w:t>Dr Ulla Rajala</w:t>
      </w:r>
      <w:r w:rsidR="000C52C2">
        <w:rPr>
          <w:sz w:val="24"/>
        </w:rPr>
        <w:t xml:space="preserve"> and </w:t>
      </w:r>
      <w:r w:rsidR="0099227A">
        <w:rPr>
          <w:sz w:val="24"/>
        </w:rPr>
        <w:t xml:space="preserve">Dr </w:t>
      </w:r>
      <w:r w:rsidR="00BA0F36" w:rsidRPr="00BA0F36">
        <w:rPr>
          <w:sz w:val="24"/>
        </w:rPr>
        <w:t>Therese Emanuelsson-Paulson</w:t>
      </w:r>
      <w:r w:rsidRPr="00024227">
        <w:rPr>
          <w:sz w:val="24"/>
        </w:rPr>
        <w:t>, Stockholm University, Sweden</w:t>
      </w:r>
    </w:p>
    <w:p w:rsidR="00BA0F36" w:rsidRDefault="00BA0F36" w:rsidP="00FA5202">
      <w:pPr>
        <w:rPr>
          <w:sz w:val="24"/>
        </w:rPr>
      </w:pPr>
    </w:p>
    <w:p w:rsidR="00BA0F36" w:rsidRPr="00BA0F36" w:rsidRDefault="00BA0F36" w:rsidP="00FA5202">
      <w:pPr>
        <w:rPr>
          <w:sz w:val="24"/>
          <w:lang w:val="en-US"/>
        </w:rPr>
      </w:pPr>
      <w:r w:rsidRPr="00BA0F36">
        <w:rPr>
          <w:sz w:val="24"/>
          <w:lang w:val="en-US"/>
        </w:rPr>
        <w:t xml:space="preserve">E-mails: </w:t>
      </w:r>
      <w:bookmarkStart w:id="0" w:name="_GoBack"/>
      <w:bookmarkEnd w:id="0"/>
      <w:r w:rsidR="00C46147">
        <w:rPr>
          <w:sz w:val="24"/>
          <w:lang w:val="en-US"/>
        </w:rPr>
        <w:fldChar w:fldCharType="begin"/>
      </w:r>
      <w:r w:rsidR="00C46147">
        <w:rPr>
          <w:sz w:val="24"/>
          <w:lang w:val="en-US"/>
        </w:rPr>
        <w:instrText xml:space="preserve"> HYPERLINK "mailto:</w:instrText>
      </w:r>
      <w:r w:rsidR="00C46147" w:rsidRPr="00C46147">
        <w:rPr>
          <w:sz w:val="24"/>
          <w:lang w:val="en-US"/>
        </w:rPr>
        <w:instrText>ulla.rajala@antiken.su.se</w:instrText>
      </w:r>
      <w:r w:rsidR="00C46147">
        <w:rPr>
          <w:sz w:val="24"/>
          <w:lang w:val="en-US"/>
        </w:rPr>
        <w:instrText xml:space="preserve">" </w:instrText>
      </w:r>
      <w:r w:rsidR="00C46147">
        <w:rPr>
          <w:sz w:val="24"/>
          <w:lang w:val="en-US"/>
        </w:rPr>
        <w:fldChar w:fldCharType="separate"/>
      </w:r>
      <w:r w:rsidR="00C46147" w:rsidRPr="00324B62">
        <w:rPr>
          <w:rStyle w:val="Hyperlnk"/>
          <w:sz w:val="24"/>
          <w:lang w:val="en-US"/>
        </w:rPr>
        <w:t>ulla.rajala@antiken.su.se</w:t>
      </w:r>
      <w:r w:rsidR="00C46147">
        <w:rPr>
          <w:sz w:val="24"/>
          <w:lang w:val="en-US"/>
        </w:rPr>
        <w:fldChar w:fldCharType="end"/>
      </w:r>
      <w:r w:rsidRPr="00BA0F36">
        <w:rPr>
          <w:sz w:val="24"/>
          <w:lang w:val="en-US"/>
        </w:rPr>
        <w:t xml:space="preserve"> and </w:t>
      </w:r>
      <w:hyperlink r:id="rId6" w:history="1">
        <w:r w:rsidRPr="00324B62">
          <w:rPr>
            <w:rStyle w:val="Hyperlnk"/>
            <w:sz w:val="24"/>
            <w:lang w:val="en-US"/>
          </w:rPr>
          <w:t>therese.emanuelsson.paulson@antiken.su.se</w:t>
        </w:r>
      </w:hyperlink>
    </w:p>
    <w:p w:rsidR="00024227" w:rsidRPr="00BA0F36" w:rsidRDefault="00024227" w:rsidP="00FA5202">
      <w:pPr>
        <w:rPr>
          <w:sz w:val="24"/>
          <w:lang w:val="en-US"/>
        </w:rPr>
      </w:pPr>
    </w:p>
    <w:p w:rsidR="00C737E3" w:rsidRPr="00FA71CD" w:rsidRDefault="00BA0F36" w:rsidP="00FA5202">
      <w:pPr>
        <w:rPr>
          <w:szCs w:val="22"/>
          <w:lang w:val="en-US"/>
        </w:rPr>
      </w:pPr>
      <w:r w:rsidRPr="00FA71CD">
        <w:rPr>
          <w:i/>
          <w:szCs w:val="22"/>
          <w:lang w:val="en-US"/>
        </w:rPr>
        <w:t>A</w:t>
      </w:r>
      <w:r w:rsidR="00C737E3" w:rsidRPr="00FA71CD">
        <w:rPr>
          <w:i/>
          <w:szCs w:val="22"/>
          <w:lang w:val="en-US"/>
        </w:rPr>
        <w:t>ddress</w:t>
      </w:r>
      <w:r w:rsidR="00C737E3" w:rsidRPr="00FA71CD">
        <w:rPr>
          <w:szCs w:val="22"/>
          <w:lang w:val="en-US"/>
        </w:rPr>
        <w:t>:</w:t>
      </w:r>
    </w:p>
    <w:p w:rsidR="00BA0F36" w:rsidRPr="00FA71CD" w:rsidRDefault="00BA0F36" w:rsidP="00BA0F36">
      <w:pPr>
        <w:rPr>
          <w:szCs w:val="22"/>
        </w:rPr>
      </w:pPr>
      <w:r w:rsidRPr="00FA71CD">
        <w:rPr>
          <w:szCs w:val="22"/>
        </w:rPr>
        <w:t>Department of Archaeology and Classical Studies</w:t>
      </w:r>
    </w:p>
    <w:p w:rsidR="00BA0F36" w:rsidRPr="00FA71CD" w:rsidRDefault="00BA0F36" w:rsidP="00BA0F36">
      <w:pPr>
        <w:rPr>
          <w:szCs w:val="22"/>
        </w:rPr>
      </w:pPr>
      <w:r w:rsidRPr="00FA71CD">
        <w:rPr>
          <w:szCs w:val="22"/>
        </w:rPr>
        <w:t>Stockholm University</w:t>
      </w:r>
    </w:p>
    <w:p w:rsidR="00BA0F36" w:rsidRPr="00FA71CD" w:rsidRDefault="00BA0F36" w:rsidP="00BA0F36">
      <w:pPr>
        <w:rPr>
          <w:szCs w:val="22"/>
        </w:rPr>
      </w:pPr>
      <w:r w:rsidRPr="00FA71CD">
        <w:rPr>
          <w:szCs w:val="22"/>
        </w:rPr>
        <w:t>Wallenberglaboratoriet</w:t>
      </w:r>
    </w:p>
    <w:p w:rsidR="00BA0F36" w:rsidRPr="00FA71CD" w:rsidRDefault="00BA0F36" w:rsidP="00BA0F36">
      <w:pPr>
        <w:rPr>
          <w:szCs w:val="22"/>
        </w:rPr>
      </w:pPr>
      <w:r w:rsidRPr="00FA71CD">
        <w:rPr>
          <w:szCs w:val="22"/>
        </w:rPr>
        <w:t>SE-106 91 Stockholm</w:t>
      </w:r>
    </w:p>
    <w:p w:rsidR="000B0085" w:rsidRPr="00FA71CD" w:rsidRDefault="00BA0F36" w:rsidP="00FA5202">
      <w:pPr>
        <w:rPr>
          <w:szCs w:val="22"/>
        </w:rPr>
      </w:pPr>
      <w:r w:rsidRPr="00FA71CD">
        <w:rPr>
          <w:szCs w:val="22"/>
        </w:rPr>
        <w:t>Sweden</w:t>
      </w:r>
    </w:p>
    <w:p w:rsidR="00BA0F36" w:rsidRDefault="00BA0F36" w:rsidP="00FA5202">
      <w:pPr>
        <w:rPr>
          <w:sz w:val="24"/>
        </w:rPr>
      </w:pPr>
    </w:p>
    <w:p w:rsidR="000B0085" w:rsidRPr="00B26581" w:rsidRDefault="000B0085" w:rsidP="00FA5202">
      <w:pPr>
        <w:rPr>
          <w:i/>
          <w:sz w:val="24"/>
        </w:rPr>
      </w:pPr>
      <w:r w:rsidRPr="00B26581">
        <w:rPr>
          <w:i/>
          <w:sz w:val="24"/>
        </w:rPr>
        <w:t>Keywords</w:t>
      </w:r>
      <w:r w:rsidR="00B26581" w:rsidRPr="00B26581">
        <w:rPr>
          <w:sz w:val="24"/>
        </w:rPr>
        <w:t>:</w:t>
      </w:r>
    </w:p>
    <w:p w:rsidR="000B0085" w:rsidRPr="00024227" w:rsidRDefault="000B0085" w:rsidP="00FA5202">
      <w:pPr>
        <w:rPr>
          <w:sz w:val="24"/>
        </w:rPr>
      </w:pPr>
      <w:r>
        <w:rPr>
          <w:sz w:val="24"/>
        </w:rPr>
        <w:t>Monument, materiality, ideology, Roman architecture</w:t>
      </w:r>
      <w:r w:rsidR="00D8437E">
        <w:rPr>
          <w:sz w:val="24"/>
        </w:rPr>
        <w:t xml:space="preserve">, </w:t>
      </w:r>
      <w:r w:rsidR="00B26581">
        <w:rPr>
          <w:sz w:val="24"/>
        </w:rPr>
        <w:t xml:space="preserve">Rome, </w:t>
      </w:r>
      <w:r w:rsidR="00D8437E">
        <w:rPr>
          <w:sz w:val="24"/>
        </w:rPr>
        <w:t>provinces</w:t>
      </w:r>
    </w:p>
    <w:p w:rsidR="00024227" w:rsidRPr="00024227" w:rsidRDefault="00024227" w:rsidP="00FA5202">
      <w:pPr>
        <w:rPr>
          <w:sz w:val="24"/>
        </w:rPr>
      </w:pPr>
    </w:p>
    <w:p w:rsidR="00024227" w:rsidRDefault="00024227" w:rsidP="00FA5202">
      <w:pPr>
        <w:rPr>
          <w:sz w:val="24"/>
        </w:rPr>
      </w:pPr>
      <w:r w:rsidRPr="003A6D7E">
        <w:rPr>
          <w:i/>
          <w:sz w:val="24"/>
        </w:rPr>
        <w:t>Abstract</w:t>
      </w:r>
      <w:r>
        <w:rPr>
          <w:sz w:val="24"/>
        </w:rPr>
        <w:t>:</w:t>
      </w:r>
    </w:p>
    <w:p w:rsidR="002C6778" w:rsidRDefault="00024227" w:rsidP="00FD7361">
      <w:pPr>
        <w:rPr>
          <w:sz w:val="24"/>
        </w:rPr>
      </w:pPr>
      <w:r>
        <w:rPr>
          <w:sz w:val="24"/>
        </w:rPr>
        <w:t xml:space="preserve">What </w:t>
      </w:r>
      <w:r w:rsidR="00FD7361">
        <w:rPr>
          <w:sz w:val="24"/>
        </w:rPr>
        <w:t xml:space="preserve">and how </w:t>
      </w:r>
      <w:r>
        <w:rPr>
          <w:sz w:val="24"/>
        </w:rPr>
        <w:t>do the monuments communicate?</w:t>
      </w:r>
      <w:r w:rsidR="00FA71CD">
        <w:rPr>
          <w:sz w:val="24"/>
        </w:rPr>
        <w:t xml:space="preserve"> In this session we</w:t>
      </w:r>
      <w:r w:rsidR="00A410C6">
        <w:rPr>
          <w:sz w:val="24"/>
        </w:rPr>
        <w:t xml:space="preserve"> want to explore the mediating role of Roman architecture.</w:t>
      </w:r>
      <w:r w:rsidR="00FD7361">
        <w:rPr>
          <w:sz w:val="24"/>
        </w:rPr>
        <w:t xml:space="preserve"> </w:t>
      </w:r>
      <w:r w:rsidR="00FD7361" w:rsidRPr="00FD7361">
        <w:rPr>
          <w:sz w:val="24"/>
        </w:rPr>
        <w:t>Objects mediate between people in a range of ways, and in so doing are</w:t>
      </w:r>
      <w:r w:rsidR="00FD7361">
        <w:rPr>
          <w:sz w:val="24"/>
        </w:rPr>
        <w:t xml:space="preserve"> </w:t>
      </w:r>
      <w:r w:rsidR="00FD7361" w:rsidRPr="00FD7361">
        <w:rPr>
          <w:sz w:val="24"/>
        </w:rPr>
        <w:t xml:space="preserve">essential </w:t>
      </w:r>
      <w:r w:rsidR="00FD7361">
        <w:rPr>
          <w:sz w:val="24"/>
        </w:rPr>
        <w:t xml:space="preserve">from their part </w:t>
      </w:r>
      <w:r w:rsidR="00FD7361" w:rsidRPr="00FD7361">
        <w:rPr>
          <w:sz w:val="24"/>
        </w:rPr>
        <w:t>to the way that selves are constructed in relation to others - i.e. to intersubjectivity</w:t>
      </w:r>
      <w:r w:rsidR="00FD7361">
        <w:rPr>
          <w:sz w:val="24"/>
        </w:rPr>
        <w:t xml:space="preserve"> (for the full discussion, see Gardner 2003, 2-5). </w:t>
      </w:r>
      <w:r w:rsidR="009732B8">
        <w:rPr>
          <w:sz w:val="24"/>
        </w:rPr>
        <w:t>In recent archaeological, and indeed interdisciplinary, discussions objects are given agency</w:t>
      </w:r>
      <w:r w:rsidR="004C3B40">
        <w:rPr>
          <w:sz w:val="24"/>
        </w:rPr>
        <w:t>, better repositioning of human is searched for</w:t>
      </w:r>
      <w:r w:rsidR="009732B8">
        <w:rPr>
          <w:sz w:val="24"/>
        </w:rPr>
        <w:t xml:space="preserve"> and the white western nature of the ‘human’ is questioned</w:t>
      </w:r>
      <w:r w:rsidR="004C3B40">
        <w:rPr>
          <w:sz w:val="24"/>
        </w:rPr>
        <w:t>;</w:t>
      </w:r>
      <w:r w:rsidR="009732B8">
        <w:rPr>
          <w:sz w:val="24"/>
        </w:rPr>
        <w:t xml:space="preserve"> these discussions have reached Roman archaeology, too (Mol 2023).</w:t>
      </w:r>
      <w:r w:rsidR="002C6778">
        <w:rPr>
          <w:sz w:val="24"/>
        </w:rPr>
        <w:t xml:space="preserve"> Nevertheless, the extent to which such ‘material turn’ would help archaeology has been questioned (Gardner 2021), </w:t>
      </w:r>
      <w:r w:rsidR="00AC3F74">
        <w:rPr>
          <w:sz w:val="24"/>
        </w:rPr>
        <w:t>even if</w:t>
      </w:r>
      <w:r w:rsidR="002C6778">
        <w:rPr>
          <w:sz w:val="24"/>
        </w:rPr>
        <w:t xml:space="preserve"> the essence of archaeology as the study of ‘things’ cannot be under</w:t>
      </w:r>
      <w:r w:rsidR="00AC3F74">
        <w:rPr>
          <w:sz w:val="24"/>
        </w:rPr>
        <w:t>estimated</w:t>
      </w:r>
      <w:r w:rsidR="002C6778">
        <w:rPr>
          <w:sz w:val="24"/>
        </w:rPr>
        <w:t>.</w:t>
      </w:r>
    </w:p>
    <w:p w:rsidR="00024227" w:rsidRDefault="002C6778" w:rsidP="00FD7361">
      <w:pPr>
        <w:rPr>
          <w:sz w:val="24"/>
        </w:rPr>
      </w:pPr>
      <w:r>
        <w:rPr>
          <w:sz w:val="24"/>
        </w:rPr>
        <w:t xml:space="preserve">   </w:t>
      </w:r>
      <w:r w:rsidR="00FD7361">
        <w:rPr>
          <w:sz w:val="24"/>
        </w:rPr>
        <w:t xml:space="preserve">Roman towns were full of </w:t>
      </w:r>
      <w:r w:rsidR="009732B8">
        <w:rPr>
          <w:sz w:val="24"/>
        </w:rPr>
        <w:t>buildings that created different kinds of urban landscapes</w:t>
      </w:r>
      <w:r w:rsidR="004C3B40">
        <w:rPr>
          <w:sz w:val="24"/>
        </w:rPr>
        <w:t xml:space="preserve"> that affected people’s senses</w:t>
      </w:r>
      <w:r w:rsidR="009732B8">
        <w:rPr>
          <w:sz w:val="24"/>
        </w:rPr>
        <w:t>.</w:t>
      </w:r>
      <w:r w:rsidR="004C3B40">
        <w:rPr>
          <w:sz w:val="24"/>
        </w:rPr>
        <w:t xml:space="preserve"> </w:t>
      </w:r>
      <w:r>
        <w:rPr>
          <w:sz w:val="24"/>
        </w:rPr>
        <w:t xml:space="preserve">The Roman architecture could be grandiose and massive, full of decorations and friezes. </w:t>
      </w:r>
      <w:r w:rsidR="004C3B40">
        <w:rPr>
          <w:sz w:val="24"/>
        </w:rPr>
        <w:t>As monuments, the buildings stood for something and they conveyed different ideas and messages</w:t>
      </w:r>
      <w:r w:rsidR="00AC3F74">
        <w:rPr>
          <w:sz w:val="24"/>
        </w:rPr>
        <w:t xml:space="preserve"> (e.g. Zanker 1990)</w:t>
      </w:r>
      <w:r w:rsidR="004C3B40">
        <w:rPr>
          <w:sz w:val="24"/>
        </w:rPr>
        <w:t>.</w:t>
      </w:r>
      <w:r>
        <w:rPr>
          <w:sz w:val="24"/>
        </w:rPr>
        <w:t xml:space="preserve"> But whose messages they communicated and what was their reception? Could the Roman monuments have unintended </w:t>
      </w:r>
      <w:r w:rsidR="00187719">
        <w:rPr>
          <w:sz w:val="24"/>
        </w:rPr>
        <w:t>connotations? Do they still stand for something?</w:t>
      </w:r>
      <w:r w:rsidR="000C52C2">
        <w:rPr>
          <w:sz w:val="24"/>
        </w:rPr>
        <w:t xml:space="preserve"> </w:t>
      </w:r>
      <w:r w:rsidR="000C52C2" w:rsidRPr="000C52C2">
        <w:rPr>
          <w:sz w:val="24"/>
        </w:rPr>
        <w:t>And can we always understand their messages? Or is our perception of these monuments affected by older archaeological theories?</w:t>
      </w:r>
    </w:p>
    <w:p w:rsidR="00AC3F74" w:rsidRDefault="00AC3F74" w:rsidP="00FD7361">
      <w:pPr>
        <w:rPr>
          <w:sz w:val="24"/>
        </w:rPr>
      </w:pPr>
      <w:r>
        <w:rPr>
          <w:sz w:val="24"/>
        </w:rPr>
        <w:t xml:space="preserve">   This session invites the interpretations and re-interpretations of </w:t>
      </w:r>
      <w:r w:rsidR="000C52C2">
        <w:rPr>
          <w:sz w:val="24"/>
        </w:rPr>
        <w:t xml:space="preserve">pre-Roman and </w:t>
      </w:r>
      <w:r>
        <w:rPr>
          <w:sz w:val="24"/>
        </w:rPr>
        <w:t>Roman monuments in the core and periphery of the Roman Empire. In addition, the assessment of their reception in the later periods can be explored as well.</w:t>
      </w:r>
      <w:r w:rsidR="000B0085">
        <w:rPr>
          <w:sz w:val="24"/>
        </w:rPr>
        <w:t xml:space="preserve"> Especially welcome are contributions that discuss different ontological question</w:t>
      </w:r>
      <w:r w:rsidR="00C048AB">
        <w:rPr>
          <w:sz w:val="24"/>
        </w:rPr>
        <w:t>s</w:t>
      </w:r>
      <w:r w:rsidR="000B0085">
        <w:rPr>
          <w:sz w:val="24"/>
        </w:rPr>
        <w:t xml:space="preserve"> related to monuments.</w:t>
      </w:r>
    </w:p>
    <w:p w:rsidR="0086560A" w:rsidRDefault="0086560A" w:rsidP="00FD7361">
      <w:pPr>
        <w:rPr>
          <w:sz w:val="24"/>
        </w:rPr>
      </w:pPr>
    </w:p>
    <w:p w:rsidR="000B0085" w:rsidRPr="00FA71CD" w:rsidRDefault="000B0085" w:rsidP="004C3B40">
      <w:pPr>
        <w:rPr>
          <w:b/>
          <w:szCs w:val="22"/>
        </w:rPr>
      </w:pPr>
      <w:r w:rsidRPr="00FA71CD">
        <w:rPr>
          <w:b/>
          <w:szCs w:val="22"/>
        </w:rPr>
        <w:t>References</w:t>
      </w:r>
    </w:p>
    <w:p w:rsidR="000B0085" w:rsidRDefault="000B0085" w:rsidP="004C3B40">
      <w:pPr>
        <w:rPr>
          <w:sz w:val="24"/>
        </w:rPr>
      </w:pPr>
    </w:p>
    <w:p w:rsidR="004C3B40" w:rsidRPr="00FA71CD" w:rsidRDefault="004C3B40" w:rsidP="00B26581">
      <w:pPr>
        <w:ind w:left="851" w:hanging="851"/>
        <w:rPr>
          <w:sz w:val="20"/>
          <w:szCs w:val="20"/>
        </w:rPr>
      </w:pPr>
      <w:r w:rsidRPr="00FA71CD">
        <w:rPr>
          <w:sz w:val="20"/>
          <w:szCs w:val="20"/>
        </w:rPr>
        <w:t xml:space="preserve">Gardner, A. 2003. Seeking a Material Turn: The Artefactuality of the Roman Empire. In G. Carr, E. Swift and J. Weekes (eds.), </w:t>
      </w:r>
      <w:r w:rsidRPr="00FA71CD">
        <w:rPr>
          <w:i/>
          <w:sz w:val="20"/>
          <w:szCs w:val="20"/>
        </w:rPr>
        <w:t>TRAC 2002: Proceedings of the Twelfth Annual Theoretical Roman Archaeology Conference, Canterbury 2002</w:t>
      </w:r>
      <w:r w:rsidRPr="00FA71CD">
        <w:rPr>
          <w:sz w:val="20"/>
          <w:szCs w:val="20"/>
        </w:rPr>
        <w:t>, 1</w:t>
      </w:r>
      <w:r w:rsidR="004525E5" w:rsidRPr="00FA71CD">
        <w:rPr>
          <w:sz w:val="20"/>
          <w:szCs w:val="20"/>
        </w:rPr>
        <w:t>–</w:t>
      </w:r>
      <w:r w:rsidRPr="00FA71CD">
        <w:rPr>
          <w:sz w:val="20"/>
          <w:szCs w:val="20"/>
        </w:rPr>
        <w:t>13. Oxford: Oxbow Books.</w:t>
      </w:r>
    </w:p>
    <w:p w:rsidR="008C6201" w:rsidRPr="00FA71CD" w:rsidRDefault="008C6201" w:rsidP="00B26581">
      <w:pPr>
        <w:ind w:left="851" w:hanging="851"/>
        <w:rPr>
          <w:sz w:val="20"/>
          <w:szCs w:val="20"/>
        </w:rPr>
      </w:pPr>
      <w:r w:rsidRPr="00FA71CD">
        <w:rPr>
          <w:sz w:val="20"/>
          <w:szCs w:val="20"/>
        </w:rPr>
        <w:t xml:space="preserve">Gardner, A. 2021. Taking the Wrong Turn? Re-examining the Potential for Practice Approaches in Archaeology. </w:t>
      </w:r>
      <w:r w:rsidRPr="00FA71CD">
        <w:rPr>
          <w:i/>
          <w:sz w:val="20"/>
          <w:szCs w:val="20"/>
        </w:rPr>
        <w:t>Cambridge Archaeological Journal</w:t>
      </w:r>
      <w:r w:rsidRPr="00FA71CD">
        <w:rPr>
          <w:sz w:val="20"/>
          <w:szCs w:val="20"/>
        </w:rPr>
        <w:t xml:space="preserve"> 31(3), 503</w:t>
      </w:r>
      <w:r w:rsidR="004525E5" w:rsidRPr="00FA71CD">
        <w:rPr>
          <w:sz w:val="20"/>
          <w:szCs w:val="20"/>
        </w:rPr>
        <w:t>–</w:t>
      </w:r>
      <w:r w:rsidRPr="00FA71CD">
        <w:rPr>
          <w:sz w:val="20"/>
          <w:szCs w:val="20"/>
        </w:rPr>
        <w:t>508, DOI: https://doi.org/10.1017/S0959774321000196</w:t>
      </w:r>
    </w:p>
    <w:p w:rsidR="0086560A" w:rsidRPr="00FA71CD" w:rsidRDefault="0086560A" w:rsidP="00B26581">
      <w:pPr>
        <w:ind w:left="851" w:hanging="851"/>
        <w:rPr>
          <w:sz w:val="20"/>
          <w:szCs w:val="20"/>
        </w:rPr>
      </w:pPr>
      <w:r w:rsidRPr="00FA71CD">
        <w:rPr>
          <w:sz w:val="20"/>
          <w:szCs w:val="20"/>
        </w:rPr>
        <w:t xml:space="preserve">Mol, </w:t>
      </w:r>
      <w:r w:rsidR="004C3B40" w:rsidRPr="00FA71CD">
        <w:rPr>
          <w:sz w:val="20"/>
          <w:szCs w:val="20"/>
        </w:rPr>
        <w:t xml:space="preserve">E. </w:t>
      </w:r>
      <w:r w:rsidRPr="00FA71CD">
        <w:rPr>
          <w:sz w:val="20"/>
          <w:szCs w:val="20"/>
        </w:rPr>
        <w:t xml:space="preserve">2023. New Materialism and Posthumanism in Roman Archaeology: When Objects Speak for Others. </w:t>
      </w:r>
      <w:r w:rsidRPr="00FA71CD">
        <w:rPr>
          <w:i/>
          <w:sz w:val="20"/>
          <w:szCs w:val="20"/>
        </w:rPr>
        <w:t>Cambridge Archaeological Journal</w:t>
      </w:r>
      <w:r w:rsidR="004C3B40" w:rsidRPr="00FA71CD">
        <w:rPr>
          <w:sz w:val="20"/>
          <w:szCs w:val="20"/>
        </w:rPr>
        <w:t xml:space="preserve"> 33(4), </w:t>
      </w:r>
      <w:r w:rsidR="004525E5" w:rsidRPr="00FA71CD">
        <w:rPr>
          <w:sz w:val="20"/>
          <w:szCs w:val="20"/>
        </w:rPr>
        <w:t>715</w:t>
      </w:r>
      <w:r w:rsidR="004C3B40" w:rsidRPr="00FA71CD">
        <w:rPr>
          <w:sz w:val="20"/>
          <w:szCs w:val="20"/>
        </w:rPr>
        <w:t xml:space="preserve">–729, DOI: </w:t>
      </w:r>
      <w:hyperlink r:id="rId7" w:history="1">
        <w:r w:rsidR="00AC3F74" w:rsidRPr="00FA71CD">
          <w:rPr>
            <w:rStyle w:val="Hyperlnk"/>
            <w:sz w:val="20"/>
            <w:szCs w:val="20"/>
          </w:rPr>
          <w:t>https://doi.org/10.1017/S0959774323000124</w:t>
        </w:r>
      </w:hyperlink>
    </w:p>
    <w:p w:rsidR="00AC3F74" w:rsidRPr="00FA71CD" w:rsidRDefault="00AC3F74" w:rsidP="00B26581">
      <w:pPr>
        <w:ind w:left="851" w:hanging="851"/>
        <w:rPr>
          <w:sz w:val="20"/>
          <w:szCs w:val="20"/>
          <w:lang w:val="en-US"/>
        </w:rPr>
      </w:pPr>
      <w:r w:rsidRPr="00FA71CD">
        <w:rPr>
          <w:sz w:val="20"/>
          <w:szCs w:val="20"/>
        </w:rPr>
        <w:t xml:space="preserve">Zanker, P. 1990. </w:t>
      </w:r>
      <w:r w:rsidRPr="00FA71CD">
        <w:rPr>
          <w:i/>
          <w:sz w:val="20"/>
          <w:szCs w:val="20"/>
        </w:rPr>
        <w:t>The power of images in the Age of Augustus</w:t>
      </w:r>
      <w:r w:rsidRPr="00FA71CD">
        <w:rPr>
          <w:sz w:val="20"/>
          <w:szCs w:val="20"/>
        </w:rPr>
        <w:t>. Translated from German by H. A. Shapiro. Ann Arbor: The University of Michigan Press.</w:t>
      </w:r>
    </w:p>
    <w:sectPr w:rsidR="00AC3F74" w:rsidRPr="00FA71CD" w:rsidSect="005F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E3"/>
    <w:rsid w:val="00023FB3"/>
    <w:rsid w:val="00024227"/>
    <w:rsid w:val="00047079"/>
    <w:rsid w:val="00062770"/>
    <w:rsid w:val="000A3299"/>
    <w:rsid w:val="000B0085"/>
    <w:rsid w:val="000C52C2"/>
    <w:rsid w:val="0011353C"/>
    <w:rsid w:val="00187719"/>
    <w:rsid w:val="002C6778"/>
    <w:rsid w:val="003A6D7E"/>
    <w:rsid w:val="003B1F8A"/>
    <w:rsid w:val="003C1F05"/>
    <w:rsid w:val="004525E5"/>
    <w:rsid w:val="004C3B40"/>
    <w:rsid w:val="005F1A17"/>
    <w:rsid w:val="00774356"/>
    <w:rsid w:val="0086560A"/>
    <w:rsid w:val="00897344"/>
    <w:rsid w:val="008C6201"/>
    <w:rsid w:val="00960526"/>
    <w:rsid w:val="009732B8"/>
    <w:rsid w:val="0099227A"/>
    <w:rsid w:val="00A12491"/>
    <w:rsid w:val="00A315C0"/>
    <w:rsid w:val="00A410C6"/>
    <w:rsid w:val="00A907FC"/>
    <w:rsid w:val="00AC3F74"/>
    <w:rsid w:val="00B26581"/>
    <w:rsid w:val="00BA0F36"/>
    <w:rsid w:val="00BC3C38"/>
    <w:rsid w:val="00C01C1B"/>
    <w:rsid w:val="00C048AB"/>
    <w:rsid w:val="00C46147"/>
    <w:rsid w:val="00C737E3"/>
    <w:rsid w:val="00D8437E"/>
    <w:rsid w:val="00EB2CF0"/>
    <w:rsid w:val="00F40A44"/>
    <w:rsid w:val="00F92B40"/>
    <w:rsid w:val="00F93A9B"/>
    <w:rsid w:val="00FA5202"/>
    <w:rsid w:val="00FA71CD"/>
    <w:rsid w:val="00FD7361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01C1B"/>
    <w:rPr>
      <w:sz w:val="22"/>
      <w:szCs w:val="24"/>
      <w:lang w:val="en-GB" w:eastAsia="zh-CN"/>
    </w:rPr>
  </w:style>
  <w:style w:type="paragraph" w:styleId="Rubrik1">
    <w:name w:val="heading 1"/>
    <w:next w:val="Normaltext"/>
    <w:link w:val="Rubrik1Char"/>
    <w:qFormat/>
    <w:rsid w:val="00A907FC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A907FC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A907FC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907FC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customStyle="1" w:styleId="Normaltext">
    <w:name w:val="Normal text"/>
    <w:qFormat/>
    <w:rsid w:val="00A907FC"/>
    <w:pPr>
      <w:spacing w:after="260" w:line="260" w:lineRule="atLeast"/>
    </w:pPr>
    <w:rPr>
      <w:sz w:val="22"/>
      <w:szCs w:val="24"/>
      <w:lang w:eastAsia="zh-CN"/>
    </w:rPr>
  </w:style>
  <w:style w:type="character" w:customStyle="1" w:styleId="Rubrik2Char">
    <w:name w:val="Rubrik 2 Char"/>
    <w:basedOn w:val="Standardstycketeckensnitt"/>
    <w:link w:val="Rubrik2"/>
    <w:rsid w:val="00A907FC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A907FC"/>
    <w:rPr>
      <w:rFonts w:eastAsiaTheme="majorEastAsia" w:cstheme="majorBidi"/>
      <w:bCs/>
      <w:sz w:val="22"/>
      <w:szCs w:val="24"/>
      <w:lang w:eastAsia="zh-CN"/>
    </w:rPr>
  </w:style>
  <w:style w:type="paragraph" w:styleId="Punktlista">
    <w:name w:val="List Bullet"/>
    <w:basedOn w:val="Normaltext"/>
    <w:qFormat/>
    <w:rsid w:val="00A907FC"/>
    <w:pPr>
      <w:numPr>
        <w:numId w:val="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A907FC"/>
    <w:pPr>
      <w:numPr>
        <w:numId w:val="6"/>
      </w:numPr>
      <w:spacing w:before="80" w:after="80" w:line="240" w:lineRule="auto"/>
    </w:pPr>
  </w:style>
  <w:style w:type="character" w:styleId="Hyperlnk">
    <w:name w:val="Hyperlink"/>
    <w:basedOn w:val="Standardstycketeckensnitt"/>
    <w:unhideWhenUsed/>
    <w:rsid w:val="00AC3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01C1B"/>
    <w:rPr>
      <w:sz w:val="22"/>
      <w:szCs w:val="24"/>
      <w:lang w:val="en-GB" w:eastAsia="zh-CN"/>
    </w:rPr>
  </w:style>
  <w:style w:type="paragraph" w:styleId="Rubrik1">
    <w:name w:val="heading 1"/>
    <w:next w:val="Normaltext"/>
    <w:link w:val="Rubrik1Char"/>
    <w:qFormat/>
    <w:rsid w:val="00A907FC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A907FC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A907FC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907FC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customStyle="1" w:styleId="Normaltext">
    <w:name w:val="Normal text"/>
    <w:qFormat/>
    <w:rsid w:val="00A907FC"/>
    <w:pPr>
      <w:spacing w:after="260" w:line="260" w:lineRule="atLeast"/>
    </w:pPr>
    <w:rPr>
      <w:sz w:val="22"/>
      <w:szCs w:val="24"/>
      <w:lang w:eastAsia="zh-CN"/>
    </w:rPr>
  </w:style>
  <w:style w:type="character" w:customStyle="1" w:styleId="Rubrik2Char">
    <w:name w:val="Rubrik 2 Char"/>
    <w:basedOn w:val="Standardstycketeckensnitt"/>
    <w:link w:val="Rubrik2"/>
    <w:rsid w:val="00A907FC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A907FC"/>
    <w:rPr>
      <w:rFonts w:eastAsiaTheme="majorEastAsia" w:cstheme="majorBidi"/>
      <w:bCs/>
      <w:sz w:val="22"/>
      <w:szCs w:val="24"/>
      <w:lang w:eastAsia="zh-CN"/>
    </w:rPr>
  </w:style>
  <w:style w:type="paragraph" w:styleId="Punktlista">
    <w:name w:val="List Bullet"/>
    <w:basedOn w:val="Normaltext"/>
    <w:qFormat/>
    <w:rsid w:val="00A907FC"/>
    <w:pPr>
      <w:numPr>
        <w:numId w:val="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A907FC"/>
    <w:pPr>
      <w:numPr>
        <w:numId w:val="6"/>
      </w:numPr>
      <w:spacing w:before="80" w:after="80" w:line="240" w:lineRule="auto"/>
    </w:pPr>
  </w:style>
  <w:style w:type="character" w:styleId="Hyperlnk">
    <w:name w:val="Hyperlink"/>
    <w:basedOn w:val="Standardstycketeckensnitt"/>
    <w:unhideWhenUsed/>
    <w:rsid w:val="00AC3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i.org/10.1017/S0959774323000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rese.emanuelsson.paulson@antiken.su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2719</Characters>
  <Application>Microsoft Office Word</Application>
  <DocSecurity>0</DocSecurity>
  <Lines>46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uraja</dc:creator>
  <cp:keywords>Normalmall - Su</cp:keywords>
  <cp:lastModifiedBy>uraja</cp:lastModifiedBy>
  <cp:revision>4</cp:revision>
  <dcterms:created xsi:type="dcterms:W3CDTF">2025-06-16T06:12:00Z</dcterms:created>
  <dcterms:modified xsi:type="dcterms:W3CDTF">2025-06-16T07:54:00Z</dcterms:modified>
</cp:coreProperties>
</file>